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Release checklist</w:t>
      </w:r>
    </w:p>
    <w:p>
      <w:r>
        <w:t>Use the original Word structure when it is available.</w:t>
      </w:r>
    </w:p>
    <w:p>
      <w:r>
        <w:t>Before publishing</w:t>
      </w:r>
    </w:p>
    <w:p>
      <w:pPr>
        <w:numPr>
          <w:ilvl w:val="0"/>
          <w:numId w:val="1"/>
        </w:numPr>
      </w:pPr>
      <w:r>
        <w:t>Accept or reject tracked changes</w:t>
      </w:r>
    </w:p>
    <w:p>
      <w:pPr>
        <w:numPr>
          <w:ilvl w:val="0"/>
          <w:numId w:val="1"/>
        </w:numPr>
      </w:pPr>
      <w:r>
        <w:t>Remove private comments</w:t>
      </w:r>
    </w:p>
    <w:p>
      <w:pPr>
        <w:numPr>
          <w:ilvl w:val="0"/>
          <w:numId w:val="1"/>
        </w:numPr>
      </w:pPr>
      <w:r>
        <w:t>Verify table totals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